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azione dei mutui non previsti espressamente in atti fondamentali del Consiglio Comunale ed emissione dei prestiti obbliga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azione dei mutui non previsti espressamente in atti fondamentali del Consiglio Comunale ed emissione dei prestiti obbliga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